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E411" w14:textId="77777777" w:rsidR="0051399B" w:rsidRDefault="00D14D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Instructor: Dr. </w:t>
      </w:r>
      <w:proofErr w:type="spellStart"/>
      <w:r>
        <w:rPr>
          <w:sz w:val="24"/>
          <w:szCs w:val="24"/>
        </w:rPr>
        <w:t>Seher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Balbay</w:t>
      </w:r>
      <w:proofErr w:type="spellEnd"/>
    </w:p>
    <w:p w14:paraId="6BC8B827" w14:textId="77777777" w:rsidR="0051399B" w:rsidRDefault="00D14D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Office: S131</w:t>
      </w:r>
    </w:p>
    <w:p w14:paraId="0E4D9ADF" w14:textId="77777777" w:rsidR="0051399B" w:rsidRDefault="00D14D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>
        <w:r>
          <w:rPr>
            <w:color w:val="1155CC"/>
            <w:sz w:val="24"/>
            <w:szCs w:val="24"/>
            <w:u w:val="single"/>
          </w:rPr>
          <w:t>seherb@metu.edu.tr</w:t>
        </w:r>
      </w:hyperlink>
    </w:p>
    <w:p w14:paraId="44C6125B" w14:textId="2CF0F752" w:rsidR="0051399B" w:rsidRPr="00D14DD6" w:rsidRDefault="0051399B" w:rsidP="00D14DD6">
      <w:pPr>
        <w:spacing w:line="360" w:lineRule="auto"/>
        <w:rPr>
          <w:sz w:val="24"/>
          <w:szCs w:val="24"/>
        </w:rPr>
      </w:pPr>
    </w:p>
    <w:p w14:paraId="09CE0533" w14:textId="6AB10C30" w:rsidR="0051399B" w:rsidRDefault="00D14DD6" w:rsidP="00D14DD6">
      <w:pPr>
        <w:spacing w:after="18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 218 </w:t>
      </w:r>
      <w:r>
        <w:rPr>
          <w:b/>
          <w:sz w:val="24"/>
          <w:szCs w:val="24"/>
          <w:highlight w:val="white"/>
        </w:rPr>
        <w:t>Language in Intercultural Contexts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Course Outline</w:t>
      </w:r>
    </w:p>
    <w:p w14:paraId="7B9DF7EE" w14:textId="7211F579" w:rsidR="0051399B" w:rsidRPr="00D14DD6" w:rsidRDefault="00D14DD6" w:rsidP="00D14DD6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course is designed to raise their awareness about</w:t>
      </w:r>
      <w:r>
        <w:rPr>
          <w:sz w:val="24"/>
          <w:szCs w:val="24"/>
        </w:rPr>
        <w:t xml:space="preserve"> the requirements of functional communication in intercultural contexts. Assuming no prior knowledge of the subject, the course is designed to </w:t>
      </w:r>
      <w:proofErr w:type="gramStart"/>
      <w:r>
        <w:rPr>
          <w:sz w:val="24"/>
          <w:szCs w:val="24"/>
        </w:rPr>
        <w:t>provide an introduction to</w:t>
      </w:r>
      <w:proofErr w:type="gramEnd"/>
      <w:r>
        <w:rPr>
          <w:sz w:val="24"/>
          <w:szCs w:val="24"/>
        </w:rPr>
        <w:t xml:space="preserve"> the study of language in context. T</w:t>
      </w:r>
      <w:r>
        <w:rPr>
          <w:sz w:val="24"/>
          <w:szCs w:val="24"/>
        </w:rPr>
        <w:t>he course deals with how language is a sociocultural medium of communication, how it is interwoven with culture</w:t>
      </w:r>
      <w:r>
        <w:rPr>
          <w:sz w:val="24"/>
          <w:szCs w:val="24"/>
        </w:rPr>
        <w:t xml:space="preserve"> and the implications of this relation on our learning and behavior. It aims to take a holistic approach to multifactorial language analysis, re</w:t>
      </w:r>
      <w:r>
        <w:rPr>
          <w:sz w:val="24"/>
          <w:szCs w:val="24"/>
        </w:rPr>
        <w:t>ferring to semantics, etymology, lexicology, discourse analysis,</w:t>
      </w:r>
      <w:r>
        <w:rPr>
          <w:sz w:val="24"/>
          <w:szCs w:val="24"/>
        </w:rPr>
        <w:t xml:space="preserve"> and pragmatics. The course also dwells on the impact of </w:t>
      </w:r>
      <w:r>
        <w:rPr>
          <w:sz w:val="24"/>
          <w:szCs w:val="24"/>
        </w:rPr>
        <w:t xml:space="preserve">identity (gender, </w:t>
      </w:r>
      <w:r>
        <w:rPr>
          <w:sz w:val="24"/>
          <w:szCs w:val="24"/>
        </w:rPr>
        <w:t xml:space="preserve">class, ethnicity), ideology, multilingualism, and </w:t>
      </w:r>
      <w:r>
        <w:rPr>
          <w:sz w:val="24"/>
          <w:szCs w:val="24"/>
        </w:rPr>
        <w:t>language policy on linguistic phenomena and language teachin</w:t>
      </w:r>
      <w:r>
        <w:rPr>
          <w:sz w:val="24"/>
          <w:szCs w:val="24"/>
        </w:rPr>
        <w:t>g.</w:t>
      </w:r>
    </w:p>
    <w:p w14:paraId="763D7266" w14:textId="77777777" w:rsidR="0051399B" w:rsidRDefault="00D14DD6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Objectives:</w:t>
      </w:r>
    </w:p>
    <w:p w14:paraId="2E5AA685" w14:textId="77777777" w:rsidR="0051399B" w:rsidRDefault="00D14DD6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 successful completion of the course, the students will be able to:</w:t>
      </w:r>
    </w:p>
    <w:p w14:paraId="66B312B5" w14:textId="77777777" w:rsidR="0051399B" w:rsidRDefault="00D14DD6">
      <w:pPr>
        <w:numPr>
          <w:ilvl w:val="0"/>
          <w:numId w:val="8"/>
        </w:num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recognize the contextual factors that determine how we make sense of language.</w:t>
      </w:r>
    </w:p>
    <w:p w14:paraId="7EE19426" w14:textId="30043DAE" w:rsidR="0051399B" w:rsidRDefault="00D14DD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practice interpreting speech acts and</w:t>
      </w:r>
      <w:r>
        <w:rPr>
          <w:sz w:val="24"/>
          <w:szCs w:val="24"/>
        </w:rPr>
        <w:t xml:space="preserve"> recognize how we communicate more than what i</w:t>
      </w:r>
      <w:r>
        <w:rPr>
          <w:sz w:val="24"/>
          <w:szCs w:val="24"/>
        </w:rPr>
        <w:t>s written in a text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by analyzing the factors that affect the meaning language users intend to convey.</w:t>
      </w:r>
    </w:p>
    <w:p w14:paraId="2EFD7350" w14:textId="77777777" w:rsidR="0051399B" w:rsidRDefault="00D14DD6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recognize the basic differences between </w:t>
      </w:r>
      <w:r>
        <w:rPr>
          <w:sz w:val="24"/>
          <w:szCs w:val="24"/>
        </w:rPr>
        <w:t>formal and contextual features of discourse.</w:t>
      </w:r>
    </w:p>
    <w:p w14:paraId="4C3D8121" w14:textId="77777777" w:rsidR="0051399B" w:rsidRDefault="00D14DD6">
      <w:pPr>
        <w:numPr>
          <w:ilvl w:val="0"/>
          <w:numId w:val="8"/>
        </w:numPr>
        <w:spacing w:line="360" w:lineRule="auto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demonstrate awareness of multicultural and social diversity.</w:t>
      </w:r>
    </w:p>
    <w:p w14:paraId="6E8FAA40" w14:textId="700C0CEE" w:rsidR="0051399B" w:rsidRDefault="00D14DD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demonstrate awareness of</w:t>
      </w:r>
      <w:r>
        <w:rPr>
          <w:sz w:val="24"/>
          <w:szCs w:val="24"/>
        </w:rPr>
        <w:t xml:space="preserve"> how culture can shape the way we think, live, learn,</w:t>
      </w:r>
      <w:r>
        <w:rPr>
          <w:sz w:val="24"/>
          <w:szCs w:val="24"/>
        </w:rPr>
        <w:t xml:space="preserve"> and relate</w:t>
      </w:r>
    </w:p>
    <w:p w14:paraId="18833C3C" w14:textId="77777777" w:rsidR="0051399B" w:rsidRDefault="00D14DD6">
      <w:pPr>
        <w:numPr>
          <w:ilvl w:val="0"/>
          <w:numId w:val="8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demonstrate an understanding of the social dimension of sociolinguistic analysis </w:t>
      </w:r>
    </w:p>
    <w:p w14:paraId="7DAA7B52" w14:textId="77777777" w:rsidR="0051399B" w:rsidRDefault="0051399B">
      <w:pPr>
        <w:spacing w:line="360" w:lineRule="auto"/>
        <w:rPr>
          <w:b/>
          <w:sz w:val="24"/>
          <w:szCs w:val="24"/>
        </w:rPr>
      </w:pPr>
    </w:p>
    <w:p w14:paraId="1049FB78" w14:textId="77777777" w:rsidR="0051399B" w:rsidRDefault="00D14D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Assessment</w:t>
      </w:r>
    </w:p>
    <w:p w14:paraId="0140D5AF" w14:textId="77777777" w:rsidR="0051399B" w:rsidRDefault="00D14DD6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Midterm Exam 25%</w:t>
      </w:r>
    </w:p>
    <w:p w14:paraId="2F5238B2" w14:textId="77777777" w:rsidR="0051399B" w:rsidRDefault="00D14DD6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Presentation 25%</w:t>
      </w:r>
    </w:p>
    <w:p w14:paraId="0055DF42" w14:textId="5BF0C8AB" w:rsidR="0051399B" w:rsidRDefault="00D14DD6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Participation 25% (</w:t>
      </w:r>
      <w:r>
        <w:rPr>
          <w:sz w:val="24"/>
          <w:szCs w:val="24"/>
        </w:rPr>
        <w:t>Each forum answer is graded over 2.5, and each discussion session participation is graded over 2.5)</w:t>
      </w:r>
    </w:p>
    <w:p w14:paraId="796296BD" w14:textId="77777777" w:rsidR="0051399B" w:rsidRDefault="00D14DD6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Final Exam 25%</w:t>
      </w:r>
    </w:p>
    <w:p w14:paraId="563DDC37" w14:textId="0B8A4063" w:rsidR="0051399B" w:rsidRDefault="00D14D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 is compulsory. If you are sick, you need to </w:t>
      </w:r>
      <w:r>
        <w:rPr>
          <w:sz w:val="24"/>
          <w:szCs w:val="24"/>
        </w:rPr>
        <w:t xml:space="preserve">text me and let me know ahead of time if you cannot attend class. </w:t>
      </w:r>
    </w:p>
    <w:p w14:paraId="1E360ADD" w14:textId="77777777" w:rsidR="0051399B" w:rsidRDefault="0051399B">
      <w:pPr>
        <w:spacing w:line="360" w:lineRule="auto"/>
        <w:rPr>
          <w:sz w:val="24"/>
          <w:szCs w:val="24"/>
        </w:rPr>
      </w:pPr>
    </w:p>
    <w:p w14:paraId="1A4B94CF" w14:textId="77777777" w:rsidR="0051399B" w:rsidRDefault="00D14D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materials</w:t>
      </w:r>
    </w:p>
    <w:p w14:paraId="3F857E03" w14:textId="77777777" w:rsidR="00D14DD6" w:rsidRDefault="00D14DD6" w:rsidP="00D14DD6">
      <w:pPr>
        <w:widowControl w:val="0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Course materials will be shared online. Some of the content that will be covered is as follows: </w:t>
      </w:r>
    </w:p>
    <w:p w14:paraId="084455B2" w14:textId="2B38DD10" w:rsidR="00D14DD6" w:rsidRDefault="00D14DD6" w:rsidP="00D14DD6">
      <w:pPr>
        <w:widowControl w:val="0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ICC (Intercultural Communication Competence)</w:t>
      </w:r>
    </w:p>
    <w:p w14:paraId="3B7ED865" w14:textId="77777777" w:rsidR="00D14DD6" w:rsidRDefault="00D14DD6" w:rsidP="00D14DD6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Discourse Communities </w:t>
      </w:r>
    </w:p>
    <w:p w14:paraId="0C406912" w14:textId="77777777" w:rsidR="00D14DD6" w:rsidRDefault="00D14DD6" w:rsidP="00D14DD6">
      <w:pPr>
        <w:widowControl w:val="0"/>
        <w:spacing w:line="240" w:lineRule="auto"/>
        <w:ind w:left="720"/>
        <w:rPr>
          <w:sz w:val="24"/>
          <w:szCs w:val="24"/>
        </w:rPr>
      </w:pPr>
    </w:p>
    <w:p w14:paraId="1E0B8ADE" w14:textId="77777777" w:rsidR="00D14DD6" w:rsidRDefault="00D14DD6" w:rsidP="00D14DD6">
      <w:pPr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Language relativity</w:t>
      </w:r>
    </w:p>
    <w:p w14:paraId="3BDB2A62" w14:textId="77777777" w:rsidR="00D14DD6" w:rsidRDefault="00D14DD6" w:rsidP="00D14DD6">
      <w:pPr>
        <w:widowControl w:val="0"/>
        <w:spacing w:line="240" w:lineRule="auto"/>
        <w:rPr>
          <w:sz w:val="24"/>
          <w:szCs w:val="24"/>
        </w:rPr>
      </w:pPr>
    </w:p>
    <w:p w14:paraId="007447A1" w14:textId="12101895" w:rsidR="0051399B" w:rsidRPr="00D14DD6" w:rsidRDefault="00D14DD6" w:rsidP="00D14DD6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proofErr w:type="spellStart"/>
      <w:r w:rsidRPr="00D14DD6">
        <w:rPr>
          <w:sz w:val="24"/>
          <w:szCs w:val="24"/>
        </w:rPr>
        <w:t>Saphir</w:t>
      </w:r>
      <w:proofErr w:type="spellEnd"/>
      <w:r w:rsidRPr="00D14DD6">
        <w:rPr>
          <w:sz w:val="24"/>
          <w:szCs w:val="24"/>
        </w:rPr>
        <w:t>- Whorf Hypothesis</w:t>
      </w:r>
    </w:p>
    <w:p w14:paraId="2317256A" w14:textId="77777777" w:rsidR="00D14DD6" w:rsidRDefault="00D14DD6" w:rsidP="00D14DD6">
      <w:pPr>
        <w:widowControl w:val="0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Language and Culture Studies</w:t>
      </w:r>
    </w:p>
    <w:p w14:paraId="4A03087B" w14:textId="77777777" w:rsidR="00D14DD6" w:rsidRDefault="00D14DD6" w:rsidP="00D14DD6">
      <w:pPr>
        <w:widowControl w:val="0"/>
        <w:spacing w:line="240" w:lineRule="auto"/>
        <w:rPr>
          <w:sz w:val="24"/>
          <w:szCs w:val="24"/>
        </w:rPr>
      </w:pPr>
    </w:p>
    <w:p w14:paraId="716940A1" w14:textId="77777777" w:rsidR="00D14DD6" w:rsidRDefault="00D14DD6" w:rsidP="00D14DD6">
      <w:pPr>
        <w:widowControl w:val="0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Globe, </w:t>
      </w:r>
      <w:proofErr w:type="gramStart"/>
      <w:r>
        <w:rPr>
          <w:sz w:val="24"/>
          <w:szCs w:val="24"/>
        </w:rPr>
        <w:t>Hofstede</w:t>
      </w:r>
      <w:proofErr w:type="gramEnd"/>
      <w:r>
        <w:rPr>
          <w:sz w:val="24"/>
          <w:szCs w:val="24"/>
        </w:rPr>
        <w:t xml:space="preserve"> and Schwartz</w:t>
      </w:r>
    </w:p>
    <w:p w14:paraId="6DE15A8B" w14:textId="77777777" w:rsidR="00D14DD6" w:rsidRDefault="00D14DD6" w:rsidP="00D14DD6">
      <w:pPr>
        <w:widowControl w:val="0"/>
        <w:spacing w:line="240" w:lineRule="auto"/>
        <w:ind w:left="720"/>
        <w:rPr>
          <w:sz w:val="24"/>
          <w:szCs w:val="24"/>
        </w:rPr>
      </w:pPr>
    </w:p>
    <w:p w14:paraId="795B82A6" w14:textId="77777777" w:rsidR="00D14DD6" w:rsidRDefault="00D14DD6" w:rsidP="00D14DD6">
      <w:pPr>
        <w:widowControl w:val="0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English as an International Language</w:t>
      </w:r>
    </w:p>
    <w:p w14:paraId="5BEC13E8" w14:textId="2E66B5F1" w:rsidR="00D14DD6" w:rsidRPr="00D14DD6" w:rsidRDefault="00D14DD6" w:rsidP="00D14D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Gender and Language</w:t>
      </w:r>
    </w:p>
    <w:p w14:paraId="5ADA31A9" w14:textId="355EA91B" w:rsidR="00D14DD6" w:rsidRDefault="00D14DD6" w:rsidP="00D14D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Nationalism, Identity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and Popular Culture </w:t>
      </w:r>
    </w:p>
    <w:p w14:paraId="7FB0004D" w14:textId="77777777" w:rsidR="00D14DD6" w:rsidRDefault="00D14DD6" w:rsidP="00D14DD6">
      <w:pPr>
        <w:widowControl w:val="0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Languages in Contact: Multilingual Societies and Multilingual Discourse</w:t>
      </w:r>
    </w:p>
    <w:p w14:paraId="0B7A2A2E" w14:textId="77777777" w:rsidR="00D14DD6" w:rsidRDefault="00D14DD6" w:rsidP="00D14DD6">
      <w:pPr>
        <w:widowControl w:val="0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Pragmatics</w:t>
      </w:r>
    </w:p>
    <w:p w14:paraId="68B0DBFC" w14:textId="77777777" w:rsidR="00D14DD6" w:rsidRDefault="00D14DD6" w:rsidP="00D14DD6">
      <w:pPr>
        <w:widowControl w:val="0"/>
        <w:spacing w:line="240" w:lineRule="auto"/>
        <w:ind w:left="720"/>
        <w:rPr>
          <w:sz w:val="24"/>
          <w:szCs w:val="24"/>
        </w:rPr>
      </w:pPr>
    </w:p>
    <w:p w14:paraId="63F43201" w14:textId="77777777" w:rsidR="00D14DD6" w:rsidRDefault="00D14DD6" w:rsidP="00D14D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Discourse Analysis </w:t>
      </w:r>
    </w:p>
    <w:p w14:paraId="2A2F39F0" w14:textId="77777777" w:rsidR="00D14DD6" w:rsidRDefault="00D14DD6" w:rsidP="00D14D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Conversation Analysis</w:t>
      </w:r>
    </w:p>
    <w:p w14:paraId="68365FD1" w14:textId="77777777" w:rsidR="00D14DD6" w:rsidRDefault="00D14DD6" w:rsidP="00D14DD6">
      <w:pPr>
        <w:widowControl w:val="0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Languages, Dialects, and Varieties</w:t>
      </w:r>
    </w:p>
    <w:sectPr w:rsidR="00D14D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F44"/>
    <w:multiLevelType w:val="multilevel"/>
    <w:tmpl w:val="457E5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C1728"/>
    <w:multiLevelType w:val="multilevel"/>
    <w:tmpl w:val="40C09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5C5C70"/>
    <w:multiLevelType w:val="multilevel"/>
    <w:tmpl w:val="0D862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C872FA"/>
    <w:multiLevelType w:val="multilevel"/>
    <w:tmpl w:val="7B444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712108"/>
    <w:multiLevelType w:val="multilevel"/>
    <w:tmpl w:val="D79C3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1F44F0"/>
    <w:multiLevelType w:val="hybridMultilevel"/>
    <w:tmpl w:val="FAE6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41C"/>
    <w:multiLevelType w:val="multilevel"/>
    <w:tmpl w:val="B036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293DC0"/>
    <w:multiLevelType w:val="multilevel"/>
    <w:tmpl w:val="42E49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6E1739"/>
    <w:multiLevelType w:val="multilevel"/>
    <w:tmpl w:val="18340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EE3F7C"/>
    <w:multiLevelType w:val="multilevel"/>
    <w:tmpl w:val="90C6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4B313E"/>
    <w:multiLevelType w:val="multilevel"/>
    <w:tmpl w:val="AA121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3552B0"/>
    <w:multiLevelType w:val="multilevel"/>
    <w:tmpl w:val="C974D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2363078">
    <w:abstractNumId w:val="10"/>
  </w:num>
  <w:num w:numId="2" w16cid:durableId="1755008270">
    <w:abstractNumId w:val="7"/>
  </w:num>
  <w:num w:numId="3" w16cid:durableId="762536228">
    <w:abstractNumId w:val="1"/>
  </w:num>
  <w:num w:numId="4" w16cid:durableId="179440077">
    <w:abstractNumId w:val="9"/>
  </w:num>
  <w:num w:numId="5" w16cid:durableId="1398362479">
    <w:abstractNumId w:val="0"/>
  </w:num>
  <w:num w:numId="6" w16cid:durableId="1954166344">
    <w:abstractNumId w:val="11"/>
  </w:num>
  <w:num w:numId="7" w16cid:durableId="1840999979">
    <w:abstractNumId w:val="3"/>
  </w:num>
  <w:num w:numId="8" w16cid:durableId="1607496927">
    <w:abstractNumId w:val="2"/>
  </w:num>
  <w:num w:numId="9" w16cid:durableId="511653352">
    <w:abstractNumId w:val="6"/>
  </w:num>
  <w:num w:numId="10" w16cid:durableId="1201087550">
    <w:abstractNumId w:val="8"/>
  </w:num>
  <w:num w:numId="11" w16cid:durableId="1987734021">
    <w:abstractNumId w:val="4"/>
  </w:num>
  <w:num w:numId="12" w16cid:durableId="1055391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9B"/>
    <w:rsid w:val="0051399B"/>
    <w:rsid w:val="00D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A24511"/>
  <w15:docId w15:val="{365230FA-683C-DE48-8AB6-C05F06EE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1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her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Seher Balbay</cp:lastModifiedBy>
  <cp:revision>2</cp:revision>
  <dcterms:created xsi:type="dcterms:W3CDTF">2023-09-19T10:26:00Z</dcterms:created>
  <dcterms:modified xsi:type="dcterms:W3CDTF">2023-09-19T10:26:00Z</dcterms:modified>
</cp:coreProperties>
</file>