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0A7C" w14:textId="2D758803" w:rsidR="00AE7122" w:rsidRPr="00AE7122" w:rsidRDefault="00AE7122" w:rsidP="00AE7122">
      <w:pPr>
        <w:pStyle w:val="Heading1"/>
        <w:keepNext w:val="0"/>
        <w:keepLines w:val="0"/>
        <w:spacing w:before="0"/>
        <w:jc w:val="center"/>
        <w:rPr>
          <w:b/>
          <w:sz w:val="22"/>
          <w:szCs w:val="22"/>
        </w:rPr>
      </w:pPr>
      <w:r w:rsidRPr="00AE7122">
        <w:rPr>
          <w:b/>
          <w:sz w:val="22"/>
          <w:szCs w:val="22"/>
        </w:rPr>
        <w:t xml:space="preserve">ENG 214: </w:t>
      </w:r>
      <w:r w:rsidRPr="00AE7122">
        <w:rPr>
          <w:b/>
          <w:sz w:val="22"/>
          <w:szCs w:val="22"/>
        </w:rPr>
        <w:t>Advanced Textual Analysis</w:t>
      </w:r>
    </w:p>
    <w:p w14:paraId="799ACB87" w14:textId="22C9D2A0" w:rsidR="00853C09" w:rsidRPr="00CC48DD" w:rsidRDefault="00853C09" w:rsidP="00421EE9">
      <w:pPr>
        <w:pStyle w:val="Heading1"/>
        <w:keepNext w:val="0"/>
        <w:keepLines w:val="0"/>
        <w:spacing w:before="0"/>
        <w:rPr>
          <w:b/>
          <w:sz w:val="22"/>
          <w:szCs w:val="22"/>
        </w:rPr>
      </w:pPr>
      <w:r w:rsidRPr="00CC48DD">
        <w:rPr>
          <w:b/>
          <w:sz w:val="22"/>
          <w:szCs w:val="22"/>
        </w:rPr>
        <w:t>Course Outline</w:t>
      </w:r>
    </w:p>
    <w:p w14:paraId="427EFB98" w14:textId="5C976FC1" w:rsidR="00853C09" w:rsidRDefault="00853C09" w:rsidP="00BA1437">
      <w:pPr>
        <w:jc w:val="both"/>
        <w:rPr>
          <w:highlight w:val="white"/>
        </w:rPr>
      </w:pPr>
      <w:r w:rsidRPr="00CC48DD">
        <w:rPr>
          <w:highlight w:val="white"/>
        </w:rPr>
        <w:t xml:space="preserve">Assuming no prior knowledge of the subject, this course is designed to </w:t>
      </w:r>
      <w:proofErr w:type="gramStart"/>
      <w:r w:rsidRPr="00CC48DD">
        <w:rPr>
          <w:highlight w:val="white"/>
        </w:rPr>
        <w:t>provide an introduction to</w:t>
      </w:r>
      <w:proofErr w:type="gramEnd"/>
      <w:r w:rsidRPr="00CC48DD">
        <w:rPr>
          <w:highlight w:val="white"/>
        </w:rPr>
        <w:t xml:space="preserve"> discourse analysis, the study of language in context, for non-specialists in the area of language study.</w:t>
      </w:r>
    </w:p>
    <w:p w14:paraId="38A71415" w14:textId="77777777" w:rsidR="00BA1437" w:rsidRPr="00CC48DD" w:rsidRDefault="00BA1437" w:rsidP="00BA1437">
      <w:pPr>
        <w:jc w:val="both"/>
        <w:rPr>
          <w:highlight w:val="white"/>
        </w:rPr>
      </w:pPr>
    </w:p>
    <w:p w14:paraId="1C86D24F" w14:textId="303F5863" w:rsidR="00853C09" w:rsidRDefault="00853C09" w:rsidP="00BA1437">
      <w:pPr>
        <w:jc w:val="both"/>
        <w:rPr>
          <w:highlight w:val="white"/>
        </w:rPr>
      </w:pPr>
      <w:r w:rsidRPr="00CC48DD">
        <w:rPr>
          <w:highlight w:val="white"/>
        </w:rPr>
        <w:t>The development of lexical competence is a multi-factorial phenomenon, that is lexis only has meaning in context. Therefore, this course aims to take a holistic approach to multifactorial textual analysis. Advanced Textual Analysis makes use of the findings from semantics, etymology, lexicology, lexicography, discourse analysis and pragmatics in analyzing a variety of selected texts developing further reading skills, putting a special emphasis on improving</w:t>
      </w:r>
      <w:r w:rsidRPr="00CC48DD">
        <w:t xml:space="preserve"> </w:t>
      </w:r>
      <w:r w:rsidRPr="00CC48DD">
        <w:rPr>
          <w:highlight w:val="white"/>
        </w:rPr>
        <w:t>vocabulary development strategies. Students are sensitized to subtle distinctions or variations in meaning between synonyms, idioms, phrasal verbs, and proverbial sayings by dealing with dictionary skills in depth and are provided with the means to achieve vocabulary development autonomously.</w:t>
      </w:r>
    </w:p>
    <w:p w14:paraId="092E9899" w14:textId="77777777" w:rsidR="00BA1437" w:rsidRPr="00CC48DD" w:rsidRDefault="00BA1437" w:rsidP="00BA1437">
      <w:pPr>
        <w:jc w:val="both"/>
        <w:rPr>
          <w:highlight w:val="white"/>
        </w:rPr>
      </w:pPr>
    </w:p>
    <w:p w14:paraId="7B3EDD3D" w14:textId="77777777" w:rsidR="00853C09" w:rsidRPr="00CC48DD" w:rsidRDefault="00853C09" w:rsidP="00421EE9">
      <w:pPr>
        <w:pStyle w:val="Heading1"/>
        <w:keepNext w:val="0"/>
        <w:keepLines w:val="0"/>
        <w:spacing w:before="0"/>
        <w:rPr>
          <w:b/>
          <w:sz w:val="22"/>
          <w:szCs w:val="22"/>
        </w:rPr>
      </w:pPr>
      <w:bookmarkStart w:id="0" w:name="_wk0yt61y7lgv" w:colFirst="0" w:colLast="0"/>
      <w:bookmarkEnd w:id="0"/>
      <w:r w:rsidRPr="00CC48DD">
        <w:rPr>
          <w:b/>
          <w:sz w:val="22"/>
          <w:szCs w:val="22"/>
        </w:rPr>
        <w:t xml:space="preserve"> </w:t>
      </w:r>
      <w:r w:rsidRPr="00CC48DD">
        <w:rPr>
          <w:b/>
          <w:noProof/>
          <w:sz w:val="22"/>
          <w:szCs w:val="22"/>
          <w:lang w:val="en-GB"/>
        </w:rPr>
        <w:drawing>
          <wp:inline distT="114300" distB="114300" distL="114300" distR="114300" wp14:anchorId="7D1A3D80" wp14:editId="72B65AFF">
            <wp:extent cx="295275" cy="295275"/>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95275" cy="295275"/>
                    </a:xfrm>
                    <a:prstGeom prst="rect">
                      <a:avLst/>
                    </a:prstGeom>
                    <a:ln/>
                  </pic:spPr>
                </pic:pic>
              </a:graphicData>
            </a:graphic>
          </wp:inline>
        </w:drawing>
      </w:r>
      <w:r w:rsidRPr="00CC48DD">
        <w:rPr>
          <w:b/>
          <w:sz w:val="22"/>
          <w:szCs w:val="22"/>
        </w:rPr>
        <w:t>Course Objectives:</w:t>
      </w:r>
    </w:p>
    <w:p w14:paraId="35BA645F" w14:textId="77777777" w:rsidR="00853C09" w:rsidRPr="00CC48DD" w:rsidRDefault="00853C09" w:rsidP="00421EE9">
      <w:pPr>
        <w:spacing w:after="100"/>
        <w:jc w:val="both"/>
        <w:rPr>
          <w:highlight w:val="white"/>
        </w:rPr>
      </w:pPr>
      <w:r w:rsidRPr="00CC48DD">
        <w:rPr>
          <w:highlight w:val="white"/>
        </w:rPr>
        <w:t>On successful completion of the course, you will have:</w:t>
      </w:r>
    </w:p>
    <w:p w14:paraId="4AA96A0D" w14:textId="77777777" w:rsidR="00853C09" w:rsidRPr="00CC48DD" w:rsidRDefault="00853C09" w:rsidP="00421EE9">
      <w:pPr>
        <w:numPr>
          <w:ilvl w:val="0"/>
          <w:numId w:val="1"/>
        </w:numPr>
        <w:ind w:left="360"/>
        <w:jc w:val="both"/>
      </w:pPr>
      <w:r w:rsidRPr="00CC48DD">
        <w:rPr>
          <w:highlight w:val="white"/>
        </w:rPr>
        <w:t xml:space="preserve">recognized the contextual factors that determine how we make sense of what we read </w:t>
      </w:r>
      <w:proofErr w:type="gramStart"/>
      <w:r w:rsidRPr="00CC48DD">
        <w:rPr>
          <w:highlight w:val="white"/>
        </w:rPr>
        <w:t>in a given</w:t>
      </w:r>
      <w:proofErr w:type="gramEnd"/>
      <w:r w:rsidRPr="00CC48DD">
        <w:rPr>
          <w:highlight w:val="white"/>
        </w:rPr>
        <w:t xml:space="preserve"> text.</w:t>
      </w:r>
    </w:p>
    <w:p w14:paraId="605650E2" w14:textId="77777777" w:rsidR="00853C09" w:rsidRPr="00CC48DD" w:rsidRDefault="00853C09" w:rsidP="00421EE9">
      <w:pPr>
        <w:numPr>
          <w:ilvl w:val="0"/>
          <w:numId w:val="1"/>
        </w:numPr>
        <w:ind w:left="360"/>
        <w:jc w:val="both"/>
      </w:pPr>
      <w:r w:rsidRPr="00CC48DD">
        <w:t>practiced interpreting speech acts, and recognized how we communicate more than what is written in a text</w:t>
      </w:r>
      <w:r w:rsidRPr="00CC48DD">
        <w:rPr>
          <w:highlight w:val="white"/>
        </w:rPr>
        <w:t xml:space="preserve"> </w:t>
      </w:r>
      <w:r w:rsidRPr="00CC48DD">
        <w:t>by analyzing the factors that affect the meaning language users intend to convey.</w:t>
      </w:r>
    </w:p>
    <w:p w14:paraId="6A69D7F9" w14:textId="77777777" w:rsidR="00853C09" w:rsidRPr="00CC48DD" w:rsidRDefault="00853C09" w:rsidP="00421EE9">
      <w:pPr>
        <w:numPr>
          <w:ilvl w:val="0"/>
          <w:numId w:val="1"/>
        </w:numPr>
        <w:shd w:val="clear" w:color="auto" w:fill="FFFFFF"/>
        <w:ind w:left="360"/>
        <w:jc w:val="both"/>
      </w:pPr>
      <w:r w:rsidRPr="00CC48DD">
        <w:rPr>
          <w:highlight w:val="white"/>
        </w:rPr>
        <w:t xml:space="preserve">recognized the basic differences between </w:t>
      </w:r>
      <w:r w:rsidRPr="00CC48DD">
        <w:t>formal and contextual features of discourse.</w:t>
      </w:r>
    </w:p>
    <w:p w14:paraId="798F5E8B" w14:textId="77777777" w:rsidR="00853C09" w:rsidRPr="00CC48DD" w:rsidRDefault="00853C09" w:rsidP="00421EE9">
      <w:pPr>
        <w:numPr>
          <w:ilvl w:val="0"/>
          <w:numId w:val="1"/>
        </w:numPr>
        <w:ind w:left="360"/>
        <w:jc w:val="both"/>
      </w:pPr>
      <w:r w:rsidRPr="00CC48DD">
        <w:rPr>
          <w:highlight w:val="white"/>
        </w:rPr>
        <w:t xml:space="preserve">recognized </w:t>
      </w:r>
      <w:r w:rsidRPr="00CC48DD">
        <w:t xml:space="preserve">what contributes to a well-constructed text as opposed to an incoherent one by </w:t>
      </w:r>
      <w:r w:rsidRPr="00CC48DD">
        <w:rPr>
          <w:highlight w:val="white"/>
        </w:rPr>
        <w:t xml:space="preserve">analyzing </w:t>
      </w:r>
      <w:r w:rsidRPr="00CC48DD">
        <w:t xml:space="preserve">variations between different kinds of texts, such as speeches, </w:t>
      </w:r>
      <w:proofErr w:type="gramStart"/>
      <w:r w:rsidRPr="00CC48DD">
        <w:t>advertisements</w:t>
      </w:r>
      <w:proofErr w:type="gramEnd"/>
      <w:r w:rsidRPr="00CC48DD">
        <w:t xml:space="preserve"> and email-messages, so as to see how discourse is used and to what effects.</w:t>
      </w:r>
    </w:p>
    <w:p w14:paraId="0C2AFAB4" w14:textId="77777777" w:rsidR="00853C09" w:rsidRPr="00CC48DD" w:rsidRDefault="00853C09" w:rsidP="00421EE9">
      <w:pPr>
        <w:numPr>
          <w:ilvl w:val="0"/>
          <w:numId w:val="1"/>
        </w:numPr>
        <w:ind w:left="360"/>
        <w:jc w:val="both"/>
      </w:pPr>
      <w:r w:rsidRPr="00CC48DD">
        <w:rPr>
          <w:color w:val="262626"/>
        </w:rPr>
        <w:t>practiced identifying and generating solutions for specific language-related problems which learners of English may face.</w:t>
      </w:r>
    </w:p>
    <w:p w14:paraId="67E076C6" w14:textId="5BA0D5C2" w:rsidR="00853C09" w:rsidRPr="00BA1437" w:rsidRDefault="00853C09" w:rsidP="00421EE9">
      <w:pPr>
        <w:numPr>
          <w:ilvl w:val="0"/>
          <w:numId w:val="1"/>
        </w:numPr>
        <w:ind w:left="360"/>
        <w:jc w:val="both"/>
      </w:pPr>
      <w:r w:rsidRPr="00CC48DD">
        <w:rPr>
          <w:color w:val="262626"/>
        </w:rPr>
        <w:t>demonstrated awareness of multicultural and social diversity</w:t>
      </w:r>
    </w:p>
    <w:p w14:paraId="44356BD0" w14:textId="77777777" w:rsidR="00BA1437" w:rsidRPr="00CC48DD" w:rsidRDefault="00BA1437" w:rsidP="00421EE9">
      <w:pPr>
        <w:ind w:left="360" w:hanging="360"/>
        <w:jc w:val="both"/>
      </w:pPr>
    </w:p>
    <w:p w14:paraId="29396A4A" w14:textId="77777777" w:rsidR="00853C09" w:rsidRPr="00CC48DD" w:rsidRDefault="00853C09" w:rsidP="00BA1437">
      <w:pPr>
        <w:jc w:val="both"/>
        <w:rPr>
          <w:b/>
        </w:rPr>
      </w:pPr>
      <w:r w:rsidRPr="00CC48DD">
        <w:rPr>
          <w:highlight w:val="white"/>
        </w:rPr>
        <w:t xml:space="preserve"> </w:t>
      </w:r>
      <w:r w:rsidRPr="00CC48DD">
        <w:rPr>
          <w:b/>
        </w:rPr>
        <w:t>Students are expected to:</w:t>
      </w:r>
    </w:p>
    <w:p w14:paraId="420F4064" w14:textId="77777777" w:rsidR="00421EE9" w:rsidRDefault="00853C09" w:rsidP="00421EE9">
      <w:pPr>
        <w:pStyle w:val="ListParagraph"/>
        <w:numPr>
          <w:ilvl w:val="3"/>
          <w:numId w:val="1"/>
        </w:numPr>
        <w:ind w:left="360"/>
        <w:jc w:val="both"/>
        <w:rPr>
          <w:highlight w:val="white"/>
        </w:rPr>
      </w:pPr>
      <w:r w:rsidRPr="00421EE9">
        <w:rPr>
          <w:highlight w:val="white"/>
        </w:rPr>
        <w:t>attend all class sessions</w:t>
      </w:r>
    </w:p>
    <w:p w14:paraId="65DFBF47" w14:textId="77777777" w:rsidR="00421EE9" w:rsidRDefault="00853C09" w:rsidP="00421EE9">
      <w:pPr>
        <w:pStyle w:val="ListParagraph"/>
        <w:numPr>
          <w:ilvl w:val="3"/>
          <w:numId w:val="1"/>
        </w:numPr>
        <w:ind w:left="360"/>
        <w:jc w:val="both"/>
        <w:rPr>
          <w:highlight w:val="white"/>
        </w:rPr>
      </w:pPr>
      <w:r w:rsidRPr="00421EE9">
        <w:rPr>
          <w:highlight w:val="white"/>
        </w:rPr>
        <w:t>actively participate in all class sessions</w:t>
      </w:r>
    </w:p>
    <w:p w14:paraId="108C5817" w14:textId="760CD8A2" w:rsidR="00853C09" w:rsidRPr="00421EE9" w:rsidRDefault="00853C09" w:rsidP="00421EE9">
      <w:pPr>
        <w:pStyle w:val="ListParagraph"/>
        <w:numPr>
          <w:ilvl w:val="3"/>
          <w:numId w:val="1"/>
        </w:numPr>
        <w:ind w:left="360"/>
        <w:jc w:val="both"/>
        <w:rPr>
          <w:highlight w:val="white"/>
        </w:rPr>
      </w:pPr>
      <w:r w:rsidRPr="00421EE9">
        <w:rPr>
          <w:highlight w:val="white"/>
        </w:rPr>
        <w:t>read the assigned texts before class</w:t>
      </w:r>
    </w:p>
    <w:p w14:paraId="542467F8" w14:textId="77777777" w:rsidR="00BA1437" w:rsidRPr="00CC48DD" w:rsidRDefault="00BA1437" w:rsidP="00BA1437">
      <w:pPr>
        <w:ind w:left="1000" w:hanging="240"/>
        <w:jc w:val="both"/>
        <w:rPr>
          <w:highlight w:val="white"/>
        </w:rPr>
      </w:pPr>
    </w:p>
    <w:p w14:paraId="731C36A1" w14:textId="77777777" w:rsidR="00853C09" w:rsidRPr="00CC48DD" w:rsidRDefault="00853C09" w:rsidP="00BA1437">
      <w:pPr>
        <w:rPr>
          <w:b/>
        </w:rPr>
      </w:pPr>
      <w:r w:rsidRPr="00CC48DD">
        <w:rPr>
          <w:b/>
        </w:rPr>
        <w:t>Course Materials:</w:t>
      </w:r>
    </w:p>
    <w:p w14:paraId="1C68BB3F" w14:textId="13B588B6" w:rsidR="00853C09" w:rsidRDefault="00853C09" w:rsidP="00BA1437">
      <w:pPr>
        <w:jc w:val="both"/>
        <w:rPr>
          <w:highlight w:val="white"/>
        </w:rPr>
      </w:pPr>
      <w:r w:rsidRPr="00CC48DD">
        <w:rPr>
          <w:highlight w:val="white"/>
        </w:rPr>
        <w:t>Weekly readings for the course will be posted on METU open courseware.</w:t>
      </w:r>
    </w:p>
    <w:p w14:paraId="364A6C02" w14:textId="77777777" w:rsidR="00BA1437" w:rsidRPr="00CC48DD" w:rsidRDefault="00BA1437" w:rsidP="00BA1437">
      <w:pPr>
        <w:jc w:val="both"/>
        <w:rPr>
          <w:highlight w:val="white"/>
        </w:rPr>
      </w:pPr>
    </w:p>
    <w:p w14:paraId="78E423FE" w14:textId="4471BDD8" w:rsidR="00853C09" w:rsidRPr="00CC48DD" w:rsidRDefault="00853C09" w:rsidP="00BA1437">
      <w:pPr>
        <w:jc w:val="both"/>
        <w:rPr>
          <w:b/>
          <w:highlight w:val="white"/>
        </w:rPr>
      </w:pPr>
      <w:r w:rsidRPr="00CC48DD">
        <w:rPr>
          <w:b/>
          <w:highlight w:val="white"/>
        </w:rPr>
        <w:t>Suggested Readings:</w:t>
      </w:r>
    </w:p>
    <w:p w14:paraId="6345CBBF" w14:textId="77777777" w:rsidR="00853C09" w:rsidRPr="00CC48DD" w:rsidRDefault="00853C09" w:rsidP="00BA1437">
      <w:pPr>
        <w:ind w:left="555" w:hanging="555"/>
        <w:jc w:val="both"/>
        <w:rPr>
          <w:highlight w:val="white"/>
        </w:rPr>
      </w:pPr>
      <w:r w:rsidRPr="00CC48DD">
        <w:rPr>
          <w:highlight w:val="white"/>
        </w:rPr>
        <w:t xml:space="preserve"> Carter, R. &amp; Goddard, A. (2001). Working with texts: A core introduction to language analysis. London: Psychology Press.</w:t>
      </w:r>
    </w:p>
    <w:p w14:paraId="07A63DA0" w14:textId="77777777" w:rsidR="00853C09" w:rsidRPr="00CC48DD" w:rsidRDefault="00853C09" w:rsidP="00BA1437">
      <w:pPr>
        <w:ind w:left="555" w:hanging="555"/>
        <w:jc w:val="both"/>
        <w:rPr>
          <w:color w:val="333333"/>
        </w:rPr>
      </w:pPr>
      <w:r w:rsidRPr="00CC48DD">
        <w:rPr>
          <w:highlight w:val="white"/>
        </w:rPr>
        <w:t xml:space="preserve"> Carter, R. &amp; Goddard, A. (2015). How to </w:t>
      </w:r>
      <w:proofErr w:type="spellStart"/>
      <w:r w:rsidRPr="00CC48DD">
        <w:rPr>
          <w:highlight w:val="white"/>
        </w:rPr>
        <w:t>analyse</w:t>
      </w:r>
      <w:proofErr w:type="spellEnd"/>
      <w:r w:rsidRPr="00CC48DD">
        <w:rPr>
          <w:highlight w:val="white"/>
        </w:rPr>
        <w:t xml:space="preserve"> texts: </w:t>
      </w:r>
      <w:r w:rsidRPr="00CC48DD">
        <w:rPr>
          <w:color w:val="333333"/>
        </w:rPr>
        <w:t>A toolkit for students of English. GB: Routledge.</w:t>
      </w:r>
    </w:p>
    <w:p w14:paraId="0F96D16F" w14:textId="77777777" w:rsidR="00853C09" w:rsidRPr="00CC48DD" w:rsidRDefault="00853C09" w:rsidP="00BA1437">
      <w:pPr>
        <w:ind w:left="555" w:hanging="555"/>
      </w:pPr>
      <w:r w:rsidRPr="00CC48DD">
        <w:t xml:space="preserve"> Fairclough, N. (1992). Critical language awareness. Michigan: University of Michigan.</w:t>
      </w:r>
    </w:p>
    <w:p w14:paraId="27ED4C8B" w14:textId="77777777" w:rsidR="00853C09" w:rsidRPr="00CC48DD" w:rsidRDefault="00853C09" w:rsidP="00BA1437">
      <w:pPr>
        <w:ind w:left="555" w:hanging="555"/>
        <w:rPr>
          <w:highlight w:val="white"/>
        </w:rPr>
      </w:pPr>
      <w:r w:rsidRPr="00CC48DD">
        <w:t xml:space="preserve"> </w:t>
      </w:r>
      <w:proofErr w:type="spellStart"/>
      <w:r w:rsidRPr="00CC48DD">
        <w:rPr>
          <w:highlight w:val="white"/>
        </w:rPr>
        <w:t>Thornbury</w:t>
      </w:r>
      <w:proofErr w:type="spellEnd"/>
      <w:r w:rsidRPr="00CC48DD">
        <w:rPr>
          <w:highlight w:val="white"/>
        </w:rPr>
        <w:t>, S. (2005). Beyond the sentence: Introducing discourse analysis. GB: Macmillan Education.</w:t>
      </w:r>
    </w:p>
    <w:p w14:paraId="08EBE406" w14:textId="77777777" w:rsidR="00BA1437" w:rsidRDefault="00BA1437" w:rsidP="00BA1437">
      <w:pPr>
        <w:jc w:val="both"/>
        <w:rPr>
          <w:b/>
        </w:rPr>
      </w:pPr>
    </w:p>
    <w:p w14:paraId="559E3355" w14:textId="601E63EA" w:rsidR="00853C09" w:rsidRPr="00CC48DD" w:rsidRDefault="00853C09" w:rsidP="00BA1437">
      <w:pPr>
        <w:jc w:val="both"/>
        <w:rPr>
          <w:b/>
        </w:rPr>
      </w:pPr>
      <w:r w:rsidRPr="00CC48DD">
        <w:rPr>
          <w:b/>
        </w:rPr>
        <w:t>Grading:</w:t>
      </w:r>
    </w:p>
    <w:tbl>
      <w:tblPr>
        <w:tblStyle w:val="TableGrid"/>
        <w:tblW w:w="0" w:type="auto"/>
        <w:tblLook w:val="04A0" w:firstRow="1" w:lastRow="0" w:firstColumn="1" w:lastColumn="0" w:noHBand="0" w:noVBand="1"/>
      </w:tblPr>
      <w:tblGrid>
        <w:gridCol w:w="3256"/>
        <w:gridCol w:w="2627"/>
      </w:tblGrid>
      <w:tr w:rsidR="00853C09" w:rsidRPr="00CC48DD" w14:paraId="04B5B109" w14:textId="77777777" w:rsidTr="00974609">
        <w:trPr>
          <w:trHeight w:hRule="exact" w:val="397"/>
        </w:trPr>
        <w:tc>
          <w:tcPr>
            <w:tcW w:w="3256" w:type="dxa"/>
            <w:vAlign w:val="center"/>
          </w:tcPr>
          <w:p w14:paraId="31241E9E" w14:textId="77777777" w:rsidR="00853C09" w:rsidRPr="00CC48DD" w:rsidRDefault="00853C09" w:rsidP="00974609">
            <w:r w:rsidRPr="00CC48DD">
              <w:t>Presentations</w:t>
            </w:r>
          </w:p>
        </w:tc>
        <w:tc>
          <w:tcPr>
            <w:tcW w:w="2627" w:type="dxa"/>
            <w:vAlign w:val="center"/>
          </w:tcPr>
          <w:p w14:paraId="51B76BF7" w14:textId="00361F8A" w:rsidR="00853C09" w:rsidRPr="00CC48DD" w:rsidRDefault="00853C09" w:rsidP="00974609">
            <w:r w:rsidRPr="00CC48DD">
              <w:t>20%</w:t>
            </w:r>
          </w:p>
        </w:tc>
      </w:tr>
      <w:tr w:rsidR="00853C09" w:rsidRPr="00CC48DD" w14:paraId="26107112" w14:textId="77777777" w:rsidTr="00974609">
        <w:trPr>
          <w:trHeight w:hRule="exact" w:val="397"/>
        </w:trPr>
        <w:tc>
          <w:tcPr>
            <w:tcW w:w="3256" w:type="dxa"/>
            <w:vAlign w:val="center"/>
          </w:tcPr>
          <w:p w14:paraId="495552A0" w14:textId="77777777" w:rsidR="00853C09" w:rsidRPr="00CC48DD" w:rsidRDefault="00853C09" w:rsidP="00974609">
            <w:r w:rsidRPr="00CC48DD">
              <w:t>Midterm</w:t>
            </w:r>
          </w:p>
          <w:p w14:paraId="694FB258" w14:textId="77777777" w:rsidR="00853C09" w:rsidRPr="00CC48DD" w:rsidRDefault="00853C09" w:rsidP="00974609"/>
        </w:tc>
        <w:tc>
          <w:tcPr>
            <w:tcW w:w="2627" w:type="dxa"/>
            <w:vAlign w:val="center"/>
          </w:tcPr>
          <w:p w14:paraId="3179BB3A" w14:textId="77777777" w:rsidR="00853C09" w:rsidRPr="00CC48DD" w:rsidRDefault="00853C09" w:rsidP="00974609">
            <w:r w:rsidRPr="00CC48DD">
              <w:t>30%</w:t>
            </w:r>
          </w:p>
        </w:tc>
      </w:tr>
      <w:tr w:rsidR="00853C09" w:rsidRPr="00CC48DD" w14:paraId="559BAD39" w14:textId="77777777" w:rsidTr="00974609">
        <w:trPr>
          <w:trHeight w:hRule="exact" w:val="397"/>
        </w:trPr>
        <w:tc>
          <w:tcPr>
            <w:tcW w:w="3256" w:type="dxa"/>
            <w:vAlign w:val="center"/>
          </w:tcPr>
          <w:p w14:paraId="5FCE8093" w14:textId="77777777" w:rsidR="00853C09" w:rsidRPr="00CC48DD" w:rsidRDefault="00853C09" w:rsidP="00974609">
            <w:r w:rsidRPr="00CC48DD">
              <w:t>Attendance &amp; Participation</w:t>
            </w:r>
          </w:p>
        </w:tc>
        <w:tc>
          <w:tcPr>
            <w:tcW w:w="2627" w:type="dxa"/>
            <w:vAlign w:val="center"/>
          </w:tcPr>
          <w:p w14:paraId="10277AB8" w14:textId="77777777" w:rsidR="00853C09" w:rsidRPr="00CC48DD" w:rsidRDefault="00853C09" w:rsidP="00974609">
            <w:r w:rsidRPr="00CC48DD">
              <w:t>10%</w:t>
            </w:r>
          </w:p>
        </w:tc>
      </w:tr>
      <w:tr w:rsidR="00853C09" w:rsidRPr="00CC48DD" w14:paraId="0CF8ADC7" w14:textId="77777777" w:rsidTr="00974609">
        <w:trPr>
          <w:trHeight w:hRule="exact" w:val="397"/>
        </w:trPr>
        <w:tc>
          <w:tcPr>
            <w:tcW w:w="3256" w:type="dxa"/>
            <w:vAlign w:val="center"/>
          </w:tcPr>
          <w:p w14:paraId="50514F61" w14:textId="77777777" w:rsidR="00853C09" w:rsidRPr="00CC48DD" w:rsidRDefault="00853C09" w:rsidP="00974609">
            <w:r w:rsidRPr="00CC48DD">
              <w:t>Final Exam</w:t>
            </w:r>
          </w:p>
        </w:tc>
        <w:tc>
          <w:tcPr>
            <w:tcW w:w="2627" w:type="dxa"/>
            <w:vAlign w:val="center"/>
          </w:tcPr>
          <w:p w14:paraId="5A5F16C0" w14:textId="3764958C" w:rsidR="00853C09" w:rsidRPr="00CC48DD" w:rsidRDefault="00853C09" w:rsidP="00974609">
            <w:r w:rsidRPr="00CC48DD">
              <w:t>40%</w:t>
            </w:r>
          </w:p>
        </w:tc>
      </w:tr>
      <w:tr w:rsidR="00853C09" w:rsidRPr="00CC48DD" w14:paraId="11FEF35A" w14:textId="77777777" w:rsidTr="00974609">
        <w:trPr>
          <w:trHeight w:hRule="exact" w:val="397"/>
        </w:trPr>
        <w:tc>
          <w:tcPr>
            <w:tcW w:w="3256" w:type="dxa"/>
            <w:vAlign w:val="center"/>
          </w:tcPr>
          <w:p w14:paraId="3B2F5F98" w14:textId="77777777" w:rsidR="00853C09" w:rsidRPr="00CC48DD" w:rsidRDefault="00853C09" w:rsidP="00974609">
            <w:pPr>
              <w:rPr>
                <w:b/>
              </w:rPr>
            </w:pPr>
            <w:r w:rsidRPr="00CC48DD">
              <w:rPr>
                <w:b/>
              </w:rPr>
              <w:t>TOTAL</w:t>
            </w:r>
          </w:p>
        </w:tc>
        <w:tc>
          <w:tcPr>
            <w:tcW w:w="2627" w:type="dxa"/>
            <w:vAlign w:val="center"/>
          </w:tcPr>
          <w:p w14:paraId="23731BD1" w14:textId="28CA0057" w:rsidR="00853C09" w:rsidRPr="00CC48DD" w:rsidRDefault="00853C09" w:rsidP="00974609">
            <w:r w:rsidRPr="00CC48DD">
              <w:t>100%</w:t>
            </w:r>
          </w:p>
        </w:tc>
      </w:tr>
    </w:tbl>
    <w:p w14:paraId="7D2B3196" w14:textId="77777777" w:rsidR="00286605" w:rsidRPr="00CC48DD" w:rsidRDefault="00286605" w:rsidP="00BA1437"/>
    <w:sectPr w:rsidR="00286605" w:rsidRPr="00CC48DD" w:rsidSect="00AE712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67AA"/>
    <w:multiLevelType w:val="multilevel"/>
    <w:tmpl w:val="4936275C"/>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 w15:restartNumberingAfterBreak="0">
    <w:nsid w:val="519575D3"/>
    <w:multiLevelType w:val="hybridMultilevel"/>
    <w:tmpl w:val="CA4A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125925">
    <w:abstractNumId w:val="0"/>
  </w:num>
  <w:num w:numId="2" w16cid:durableId="2014137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09"/>
    <w:rsid w:val="00286605"/>
    <w:rsid w:val="00421EE9"/>
    <w:rsid w:val="00853C09"/>
    <w:rsid w:val="00974609"/>
    <w:rsid w:val="00AE7122"/>
    <w:rsid w:val="00BA1437"/>
    <w:rsid w:val="00CC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6056"/>
  <w15:chartTrackingRefBased/>
  <w15:docId w15:val="{5456912B-D4F9-4B80-AA02-4A1565E9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09"/>
    <w:pPr>
      <w:spacing w:after="0" w:line="276" w:lineRule="auto"/>
    </w:pPr>
    <w:rPr>
      <w:rFonts w:ascii="Arial" w:eastAsia="Arial" w:hAnsi="Arial" w:cs="Arial"/>
      <w:lang w:val="en" w:eastAsia="en-GB"/>
    </w:rPr>
  </w:style>
  <w:style w:type="paragraph" w:styleId="Heading1">
    <w:name w:val="heading 1"/>
    <w:basedOn w:val="Normal"/>
    <w:next w:val="Normal"/>
    <w:link w:val="Heading1Char"/>
    <w:rsid w:val="00853C09"/>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C09"/>
    <w:rPr>
      <w:rFonts w:ascii="Arial" w:eastAsia="Arial" w:hAnsi="Arial" w:cs="Arial"/>
      <w:sz w:val="40"/>
      <w:szCs w:val="40"/>
      <w:lang w:val="en" w:eastAsia="en-GB"/>
    </w:rPr>
  </w:style>
  <w:style w:type="table" w:styleId="TableGrid">
    <w:name w:val="Table Grid"/>
    <w:basedOn w:val="TableNormal"/>
    <w:uiPriority w:val="39"/>
    <w:rsid w:val="00853C09"/>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2265</Characters>
  <Application>Microsoft Office Word</Application>
  <DocSecurity>0</DocSecurity>
  <Lines>18</Lines>
  <Paragraphs>5</Paragraphs>
  <ScaleCrop>false</ScaleCrop>
  <Company>HP</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d</dc:creator>
  <cp:keywords/>
  <dc:description/>
  <cp:lastModifiedBy>Özlem Vural</cp:lastModifiedBy>
  <cp:revision>6</cp:revision>
  <dcterms:created xsi:type="dcterms:W3CDTF">2023-09-23T11:23:00Z</dcterms:created>
  <dcterms:modified xsi:type="dcterms:W3CDTF">2023-09-26T07:14:00Z</dcterms:modified>
</cp:coreProperties>
</file>